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19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ČESTN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É PROHLÁ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  </w:t>
      </w:r>
    </w:p>
    <w:p>
      <w:pPr>
        <w:widowControl w:val="false"/>
        <w:suppressAutoHyphens w:val="true"/>
        <w:spacing w:before="0" w:after="120" w:line="240"/>
        <w:ind w:right="20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NEEXISTENCI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ÍZNAK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VIROV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ÉHO INFEK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ÍHO ONEMOCN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</w:t>
      </w:r>
    </w:p>
    <w:p>
      <w:pPr>
        <w:widowControl w:val="false"/>
        <w:suppressAutoHyphens w:val="true"/>
        <w:spacing w:before="0" w:after="0" w:line="240"/>
        <w:ind w:right="0" w:left="162" w:firstLine="0"/>
        <w:jc w:val="left"/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</w:pP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Jméno a p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ř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íjmení</w:t>
      </w:r>
      <w:r>
        <w:rPr>
          <w:rFonts w:ascii="Calibri" w:hAnsi="Calibri" w:cs="Calibri" w:eastAsia="Calibri"/>
          <w:b/>
          <w:i/>
          <w:color w:val="181717"/>
          <w:spacing w:val="0"/>
          <w:position w:val="0"/>
          <w:sz w:val="24"/>
          <w:shd w:fill="E2F0F2" w:val="clear"/>
        </w:rPr>
        <w:t xml:space="preserve"> 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dít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ěte</w:t>
      </w:r>
    </w:p>
    <w:p>
      <w:pPr>
        <w:widowControl w:val="false"/>
        <w:suppressAutoHyphens w:val="true"/>
        <w:spacing w:before="0" w:after="166" w:line="240"/>
        <w:ind w:right="0" w:left="162" w:firstLine="0"/>
        <w:jc w:val="left"/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E2F0F2" w:val="clear"/>
        </w:rPr>
      </w:pPr>
    </w:p>
    <w:p>
      <w:pPr>
        <w:widowControl w:val="false"/>
        <w:suppressAutoHyphens w:val="true"/>
        <w:spacing w:before="0" w:after="166" w:line="240"/>
        <w:ind w:right="0" w:left="162" w:firstLine="0"/>
        <w:jc w:val="left"/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E2F0F2" w:val="clear"/>
        </w:rPr>
      </w:pPr>
      <w:r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E2F0F2" w:val="clear"/>
        </w:rPr>
        <w:t xml:space="preserve">.............................................................................................................................</w:t>
      </w:r>
    </w:p>
    <w:p>
      <w:pPr>
        <w:widowControl w:val="false"/>
        <w:suppressAutoHyphens w:val="true"/>
        <w:spacing w:before="0" w:after="0" w:line="264"/>
        <w:ind w:right="0" w:left="172" w:hanging="10"/>
        <w:jc w:val="left"/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</w:pPr>
    </w:p>
    <w:p>
      <w:pPr>
        <w:widowControl w:val="false"/>
        <w:suppressAutoHyphens w:val="true"/>
        <w:spacing w:before="0" w:after="0" w:line="264"/>
        <w:ind w:right="0" w:left="172" w:hanging="10"/>
        <w:jc w:val="left"/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E2F0F2" w:val="clear"/>
        </w:rPr>
      </w:pP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Datum narození: </w:t>
      </w:r>
      <w:r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E2F0F2" w:val="clear"/>
        </w:rPr>
        <w:t xml:space="preserve">...................................  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ab/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        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T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ř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ída: </w:t>
      </w:r>
      <w:r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E2F0F2" w:val="clear"/>
        </w:rPr>
        <w:t xml:space="preserve">............................................</w:t>
      </w:r>
    </w:p>
    <w:p>
      <w:pPr>
        <w:widowControl w:val="false"/>
        <w:suppressAutoHyphens w:val="true"/>
        <w:spacing w:before="0" w:after="169" w:line="240"/>
        <w:ind w:right="0" w:left="162" w:firstLine="0"/>
        <w:jc w:val="left"/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</w:pP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 </w:t>
      </w:r>
    </w:p>
    <w:p>
      <w:pPr>
        <w:widowControl w:val="false"/>
        <w:suppressAutoHyphens w:val="true"/>
        <w:spacing w:before="0" w:after="360" w:line="264"/>
        <w:ind w:right="0" w:left="172" w:hanging="10"/>
        <w:jc w:val="left"/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E2F0F2" w:val="clear"/>
        </w:rPr>
      </w:pP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Trvale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 </w:t>
      </w: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E2F0F2" w:val="clear"/>
        </w:rPr>
        <w:t xml:space="preserve">bytem:</w:t>
      </w:r>
      <w:r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E2F0F2" w:val="clear"/>
        </w:rPr>
        <w:t xml:space="preserve">.......................................................................................................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0" w:line="240"/>
        <w:ind w:right="23" w:left="284" w:hanging="10"/>
        <w:jc w:val="both"/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Prohla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šuji, že se u v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ého dít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ěte/ž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áka/studenta/ú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íka vzd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ěl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ávání neprojevují a v posledních dvou týdnech neprojevily p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íznaky virového infek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ího onemocn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 (nap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ř. horečka, kašel, dušnost,  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áhlá ztráta chuti a 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čichu apod.).</w:t>
      </w:r>
    </w:p>
    <w:p>
      <w:pPr>
        <w:widowControl w:val="false"/>
        <w:numPr>
          <w:ilvl w:val="0"/>
          <w:numId w:val="8"/>
        </w:numPr>
        <w:tabs>
          <w:tab w:val="left" w:pos="284" w:leader="none"/>
          <w:tab w:val="left" w:pos="426" w:leader="none"/>
        </w:tabs>
        <w:suppressAutoHyphens w:val="true"/>
        <w:spacing w:before="0" w:after="0" w:line="240"/>
        <w:ind w:right="23" w:left="284" w:hanging="10"/>
        <w:jc w:val="both"/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Prohla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šuji, že jsem byl/a sezn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ámen/a s vymezením osob s rizikovými faktory a s doporu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ím, abych zvá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žil/a  tyto rizikov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é faktory p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ři rozhodov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ání o ú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časti na vzděl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ávacích aktivitách dít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ěte/ž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áka.</w:t>
      </w:r>
    </w:p>
    <w:p>
      <w:pPr>
        <w:widowControl w:val="false"/>
        <w:numPr>
          <w:ilvl w:val="0"/>
          <w:numId w:val="8"/>
        </w:numPr>
        <w:tabs>
          <w:tab w:val="left" w:pos="284" w:leader="none"/>
          <w:tab w:val="left" w:pos="426" w:leader="none"/>
        </w:tabs>
        <w:suppressAutoHyphens w:val="true"/>
        <w:spacing w:before="0" w:after="0" w:line="240"/>
        <w:ind w:right="23" w:left="284" w:hanging="10"/>
        <w:jc w:val="both"/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Prohla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šuji, že si nejsem vědom/a skutečnosti, že by u v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ého dít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ěte/ž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áka/studenta/ú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íka vzd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ěl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ávání do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šlo v posledn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ích 14 dnech ke kontaktu s osobou lé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ící se na  COVID-19 nebo osobou nacházející se v karantén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ě.</w:t>
      </w:r>
    </w:p>
    <w:p>
      <w:pPr>
        <w:widowControl w:val="false"/>
        <w:numPr>
          <w:ilvl w:val="0"/>
          <w:numId w:val="8"/>
        </w:numPr>
        <w:tabs>
          <w:tab w:val="left" w:pos="284" w:leader="none"/>
          <w:tab w:val="left" w:pos="426" w:leader="none"/>
        </w:tabs>
        <w:suppressAutoHyphens w:val="true"/>
        <w:spacing w:before="0" w:after="0" w:line="240"/>
        <w:ind w:right="23" w:left="284" w:hanging="10"/>
        <w:jc w:val="both"/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Beru na v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ědom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í, 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že v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é/ý dít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ě/ž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ák/student/ú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ík vzd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ěl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ávání m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ůže b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ýt osobn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 př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ítomno/ý ve 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škole, školsk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ém za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ízení nebo vzd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ěl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ávací instituci pouze, pokud je bez akutních zdravotních potí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 odpovídajících virovému infek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ímu onemocn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í.</w:t>
      </w:r>
    </w:p>
    <w:p>
      <w:pPr>
        <w:widowControl w:val="false"/>
        <w:tabs>
          <w:tab w:val="left" w:pos="284" w:leader="none"/>
        </w:tabs>
        <w:suppressAutoHyphens w:val="true"/>
        <w:spacing w:before="0" w:after="0" w:line="240"/>
        <w:ind w:right="23" w:left="11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239" w:line="240"/>
        <w:ind w:right="0" w:left="9" w:hanging="10"/>
        <w:jc w:val="left"/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auto" w:val="clear"/>
        </w:rPr>
        <w:t xml:space="preserve">V   </w:t>
      </w:r>
      <w:r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auto" w:val="clear"/>
        </w:rPr>
        <w:t xml:space="preserve">.............................................................</w:t>
      </w:r>
    </w:p>
    <w:p>
      <w:pPr>
        <w:widowControl w:val="false"/>
        <w:suppressAutoHyphens w:val="true"/>
        <w:spacing w:before="0" w:after="46" w:line="240"/>
        <w:ind w:right="0" w:left="11" w:hanging="11"/>
        <w:jc w:val="left"/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181717"/>
          <w:spacing w:val="0"/>
          <w:position w:val="0"/>
          <w:sz w:val="24"/>
          <w:shd w:fill="auto" w:val="clear"/>
        </w:rPr>
        <w:t xml:space="preserve">Dne  </w:t>
      </w:r>
      <w:r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auto" w:val="clear"/>
        </w:rPr>
        <w:t xml:space="preserve">..........................................................</w:t>
      </w:r>
    </w:p>
    <w:p>
      <w:pPr>
        <w:widowControl w:val="false"/>
        <w:tabs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right" w:pos="9817" w:leader="none"/>
        </w:tabs>
        <w:suppressAutoHyphens w:val="true"/>
        <w:spacing w:before="0" w:after="46" w:line="240"/>
        <w:ind w:right="0" w:left="0" w:firstLine="0"/>
        <w:jc w:val="left"/>
        <w:rPr>
          <w:rFonts w:ascii="Calibri" w:hAnsi="Calibri" w:cs="Calibri" w:eastAsia="Calibri"/>
          <w:color w:val="2D6D6E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D6D6E"/>
          <w:spacing w:val="0"/>
          <w:position w:val="0"/>
          <w:sz w:val="24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</w:t>
      </w:r>
      <w:r>
        <w:rPr>
          <w:rFonts w:ascii="Calibri" w:hAnsi="Calibri" w:cs="Calibri" w:eastAsia="Calibri"/>
          <w:color w:val="2D6D6E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</w:t>
      </w:r>
    </w:p>
    <w:p>
      <w:pPr>
        <w:widowControl w:val="false"/>
        <w:tabs>
          <w:tab w:val="center" w:pos="394" w:leader="none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center" w:pos="7056" w:leader="none"/>
        </w:tabs>
        <w:suppressAutoHyphens w:val="true"/>
        <w:spacing w:before="0" w:after="11" w:line="240"/>
        <w:ind w:right="0" w:left="0" w:firstLine="0"/>
        <w:jc w:val="left"/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Podpis zletilého 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áka/studenta/ú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íka vzd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ěl</w:t>
      </w: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ávání</w:t>
      </w:r>
    </w:p>
    <w:p>
      <w:pPr>
        <w:widowControl w:val="false"/>
        <w:tabs>
          <w:tab w:val="center" w:pos="394" w:leader="none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center" w:pos="7056" w:leader="none"/>
        </w:tabs>
        <w:suppressAutoHyphens w:val="true"/>
        <w:spacing w:before="0" w:after="11" w:line="240"/>
        <w:ind w:right="0" w:left="0" w:firstLine="0"/>
        <w:jc w:val="left"/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nebo</w:t>
      </w:r>
    </w:p>
    <w:p>
      <w:pPr>
        <w:widowControl w:val="false"/>
        <w:tabs>
          <w:tab w:val="center" w:pos="394" w:leader="none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center" w:pos="7056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181717"/>
          <w:spacing w:val="0"/>
          <w:position w:val="0"/>
          <w:sz w:val="20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Podpis zákonného zástupce nezletilého</w:t>
      </w:r>
    </w:p>
    <w:p>
      <w:pPr>
        <w:widowControl w:val="false"/>
        <w:suppressAutoHyphens w:val="true"/>
        <w:spacing w:before="0" w:after="216" w:line="240"/>
        <w:ind w:right="0" w:left="189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2DBE2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2DBE2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2DBE2" w:val="clear"/>
        </w:rPr>
        <w:t xml:space="preserve">Osoby s rizikovými faktory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2DBE2" w:val="clear"/>
        </w:rPr>
        <w:t xml:space="preserve"> </w:t>
      </w:r>
    </w:p>
    <w:p>
      <w:pPr>
        <w:widowControl w:val="false"/>
        <w:suppressAutoHyphens w:val="true"/>
        <w:spacing w:before="0" w:after="17" w:line="240"/>
        <w:ind w:right="0" w:left="189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Ministerstvo zdravotnictví stanovilo následující rizikové faktory: 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822" w:hanging="822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ěk nad 65 let s přidružen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ými chronickými chorobami.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822" w:hanging="822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Chronické onemocn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plic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(zahrnuje i st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ředně 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áva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žn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é a záva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žn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é astma bronchiale)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s dlouhodobou systémovou farmakologickou lé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čbou.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822" w:hanging="822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Onemocn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srdce a/nebo velkých cév s dlouhodobou systémovou farmakologickou lé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čbou např. hypertenze.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822" w:hanging="822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Porucha imunitního systému, nap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ř. 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1404" w:hanging="1404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ři imunosupresivn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lé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čbě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(steroidy, HIV apod.)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,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1404" w:hanging="1404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ři protin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ádorové lé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čbě,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1404" w:hanging="1404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po transplantaci solidních orgán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 a/nebo kostn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řeně,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822" w:hanging="822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ěžk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 obezita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(BMI nad 40 kg/m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)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.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822" w:hanging="822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Farmakologicky lé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 diabetes mellitus.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822" w:hanging="822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Chronické onemocn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ledvin vy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žaduj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ící do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časnou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nebo trvalou podporu/n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áhradu funkce ledvin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(dialýza)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822" w:hanging="822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Onemocn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jater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  <w:t xml:space="preserve">(primární nebo sekundární)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199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199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 rizikové skupiny pat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osoba, která napl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ňuje alespoň jeden bod uveden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vý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 nebo pokud někter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z bod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 naplňuje jak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ákoliv osoba, která s ní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žije ve společn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domácnosti.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